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Roboto Black" w:cs="Roboto Black" w:eastAsia="Roboto Black" w:hAnsi="Roboto Black"/>
          <w:sz w:val="48"/>
          <w:szCs w:val="48"/>
        </w:rPr>
      </w:pPr>
      <w:r w:rsidDel="00000000" w:rsidR="00000000" w:rsidRPr="00000000">
        <w:rPr>
          <w:rFonts w:ascii="Roboto Black" w:cs="Roboto Black" w:eastAsia="Roboto Black" w:hAnsi="Roboto Black"/>
          <w:sz w:val="48"/>
          <w:szCs w:val="48"/>
          <w:rtl w:val="0"/>
        </w:rPr>
        <w:t xml:space="preserve">Burbuliukas ir Co. Tiesioginių pardavimų partnerystės prezentacijos gairės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110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70"/>
        <w:gridCol w:w="5295"/>
        <w:gridCol w:w="3480"/>
        <w:gridCol w:w="2865"/>
        <w:tblGridChange w:id="0">
          <w:tblGrid>
            <w:gridCol w:w="1470"/>
            <w:gridCol w:w="5295"/>
            <w:gridCol w:w="3480"/>
            <w:gridCol w:w="2865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Dalis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Kalbos elementai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Skaidrės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i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i w:val="1"/>
                <w:rtl w:val="0"/>
              </w:rPr>
              <w:t xml:space="preserve">Komentarai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Įvadas: kabliukas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Lankstumas ir adaptacija pagal auditoriją – žiūrėkita </w:t>
            </w:r>
            <w:hyperlink r:id="rId6">
              <w:r w:rsidDel="00000000" w:rsidR="00000000" w:rsidRPr="00000000">
                <w:rPr>
                  <w:rFonts w:ascii="Roboto" w:cs="Roboto" w:eastAsia="Roboto" w:hAnsi="Roboto"/>
                  <w:color w:val="1155cc"/>
                  <w:u w:val="single"/>
                  <w:rtl w:val="0"/>
                </w:rPr>
                <w:t xml:space="preserve">čia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12" name="image19.jpg"/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16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rtl w:val="0"/>
              </w:rPr>
              <w:t xml:space="preserve">Čia reikia atskleisti tikslą ir (arba) pridėtinę vertę.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rtl w:val="0"/>
              </w:rPr>
              <w:t xml:space="preserve">Skaidrė „50 %“ atspindi vieną iš </w:t>
            </w:r>
            <w:hyperlink r:id="rId9">
              <w:r w:rsidDel="00000000" w:rsidR="00000000" w:rsidRPr="00000000">
                <w:rPr>
                  <w:rFonts w:ascii="Roboto Light" w:cs="Roboto Light" w:eastAsia="Roboto Light" w:hAnsi="Roboto Light"/>
                  <w:i w:val="1"/>
                  <w:color w:val="1155cc"/>
                  <w:u w:val="single"/>
                  <w:rtl w:val="0"/>
                </w:rPr>
                <w:t xml:space="preserve">sudominimo rekomendacijų</w:t>
              </w:r>
            </w:hyperlink>
            <w:r w:rsidDel="00000000" w:rsidR="00000000" w:rsidRPr="00000000">
              <w:rPr>
                <w:rFonts w:ascii="Roboto Light" w:cs="Roboto Light" w:eastAsia="Roboto Light" w:hAnsi="Roboto Light"/>
                <w:i w:val="1"/>
                <w:rtl w:val="0"/>
              </w:rPr>
              <w:t xml:space="preserve"> ir turi būti atitinkamai redaguojama.</w:t>
            </w:r>
          </w:p>
        </w:tc>
      </w:tr>
      <w:tr>
        <w:trPr>
          <w:cantSplit w:val="0"/>
          <w:trHeight w:val="129.0087890625" w:hRule="atLeast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.000000000000004" w:lineRule="auto"/>
              <w:rPr>
                <w:rFonts w:ascii="Roboto Light" w:cs="Roboto Light" w:eastAsia="Roboto Light" w:hAnsi="Roboto Light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.000000000000004" w:lineRule="auto"/>
              <w:rPr>
                <w:rFonts w:ascii="Roboto Light" w:cs="Roboto Light" w:eastAsia="Roboto Light" w:hAnsi="Roboto Light"/>
                <w:i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Vidurinioji dalis - dėstymas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Apibūdinkite vartotojams aktualią problemą: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Vandens kokybė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Didžiųjų ir kitų miestų teritorijų geriamojo vandens šaltiniai yra užteršti dėl padidėjusių nitratų kiekių. Nitratai yra teršalai, siejami su vėžiniais susirgimais ir gali būti pavojingi kūdikiams.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Skonis 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Įprastas vandentiekio vanduo yra beskonis ir bekvapis. Jei Jūsų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vanduo užterštas, jis gali skleisti stiprų kvapą arba galite jausti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chloro, sieros arba naftos medžiagų skonį.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Poveikis aplinkai 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Vandens buteliuose vartojimas gali turėti neigiamą poveikį aplinkai ir net sveikatai dėl mikroplastiko dalelių. Nors daugelis vandens buteliuose rūšių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parduodama perdirbti tinkamo stiklo tarose, daugybė rūšių išpilstoma į plastikinius butelius. Be kita ko, visus sunkius vandens padėklus tenka gabenti į parduotuvę.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0" w:firstLine="0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2" name="image10.jpg"/>
                  <a:graphic>
                    <a:graphicData uri="http://schemas.openxmlformats.org/drawingml/2006/picture">
                      <pic:pic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68400"/>
                  <wp:effectExtent b="0" l="0" r="0" t="0"/>
                  <wp:docPr id="15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6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21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24" name="image23.jpg"/>
                  <a:graphic>
                    <a:graphicData uri="http://schemas.openxmlformats.org/drawingml/2006/picture">
                      <pic:pic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rtl w:val="0"/>
              </w:rPr>
              <w:t xml:space="preserve">Svarbu parodyti, kad problema, kurią reikia išspręsti, yra aktuali ir rimta, kadangi tai reiškia, kad vartotojai ir toliau pirks produktą.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Kaip bendradarbiavimas su mumis gali prisidėti prie problemos sprendimo?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5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Trys priežastys:</w:t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Augimas</w:t>
            </w:r>
          </w:p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Inovacijos</w:t>
            </w:r>
          </w:p>
          <w:p w:rsidR="00000000" w:rsidDel="00000000" w:rsidP="00000000" w:rsidRDefault="00000000" w:rsidRPr="00000000" w14:paraId="0000002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Bendradarbiavimas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3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1 skyrius: galimybės augti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Augimas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Čia atkreipkite dėmesį į: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Į butelius išpilstyto vandens ir maisto papildų rinkos dydžius ir tendencijas;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Vandens jonizatorių rinkos dydį ir tendencijas;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Tikslinės auditorijos didėjimą.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20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43000"/>
                  <wp:effectExtent b="0" l="0" r="0" t="0"/>
                  <wp:docPr id="4" name="image16.jpg"/>
                  <a:graphic>
                    <a:graphicData uri="http://schemas.openxmlformats.org/drawingml/2006/picture">
                      <pic:pic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4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68400"/>
                  <wp:effectExtent b="0" l="0" r="0" t="0"/>
                  <wp:docPr id="13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6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68400"/>
                  <wp:effectExtent b="0" l="0" r="0" t="0"/>
                  <wp:docPr id="19" name="image24.jpg"/>
                  <a:graphic>
                    <a:graphicData uri="http://schemas.openxmlformats.org/drawingml/2006/picture">
                      <pic:pic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6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68400"/>
                  <wp:effectExtent b="0" l="0" r="0" t="0"/>
                  <wp:docPr id="11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6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rtl w:val="0"/>
              </w:rPr>
              <w:t xml:space="preserve">Taip siekiama parodyti potencialiam partneriui, kad jo pajamos padidės, jei jis parduos mūsų produktą.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2 skyrius: inovatyvus, laiko patikrintas sprendimas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Inovacija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Čia parodykite / aptarkite: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Skirtingų jonizatorių asortimentą;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Šiek tiek įsigilinkite į kiekvieną produktą, jo vertę ir naudojimo pavyzdžius;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Įmonės sertifikavimą ir investicijas į mokslinius tyrimus bei plėtrą.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</w:rPr>
              <w:drawing>
                <wp:inline distB="114300" distT="114300" distL="114300" distR="114300">
                  <wp:extent cx="2076450" cy="1168400"/>
                  <wp:effectExtent b="0" l="0" r="0" t="0"/>
                  <wp:docPr id="18" name="image21.jpg"/>
                  <a:graphic>
                    <a:graphicData uri="http://schemas.openxmlformats.org/drawingml/2006/picture">
                      <pic:pic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6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1" name="image9.jpg"/>
                  <a:graphic>
                    <a:graphicData uri="http://schemas.openxmlformats.org/drawingml/2006/picture">
                      <pic:pic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i w:val="1"/>
                <w:rtl w:val="0"/>
              </w:rPr>
              <w:t xml:space="preserve">Pažymėkite, kad gaminys buvo ištirtas, testuotas ir yra patikimas sprendimas.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3 skyrius: abipusė partnerystė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b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rtl w:val="0"/>
              </w:rPr>
              <w:t xml:space="preserve">Bendradarbiavimas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Čia parodykite / aptarkite: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Maržos skaičiavimą ir partnerio galimybes;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Apmokymus ir konsultavimą (rinkodaros planai, įvedimo į rinką kampanijos ir kt.);</w:t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Kas yra įmonės įkūrėjai ir būsimi komandos nariai.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22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68400"/>
                  <wp:effectExtent b="0" l="0" r="0" t="0"/>
                  <wp:docPr id="1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6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7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43000"/>
                  <wp:effectExtent b="0" l="0" r="0" t="0"/>
                  <wp:docPr id="23" name="image22.jpg"/>
                  <a:graphic>
                    <a:graphicData uri="http://schemas.openxmlformats.org/drawingml/2006/picture">
                      <pic:pic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4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55700"/>
                  <wp:effectExtent b="0" l="0" r="0" t="0"/>
                  <wp:docPr id="10" name="image18.jpg"/>
                  <a:graphic>
                    <a:graphicData uri="http://schemas.openxmlformats.org/drawingml/2006/picture">
                      <pic:pic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55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43000"/>
                  <wp:effectExtent b="0" l="0" r="0" t="0"/>
                  <wp:docPr id="8" name="image3.jpg"/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4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81100"/>
                  <wp:effectExtent b="0" l="0" r="0" t="0"/>
                  <wp:docPr id="17" name="image4.jpg"/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8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.000000000000004" w:lineRule="auto"/>
              <w:rPr>
                <w:rFonts w:ascii="Roboto Light" w:cs="Roboto Light" w:eastAsia="Roboto Light" w:hAnsi="Roboto Light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.000000000000004" w:lineRule="auto"/>
              <w:rPr>
                <w:rFonts w:ascii="Roboto Light" w:cs="Roboto Light" w:eastAsia="Roboto Light" w:hAnsi="Roboto Light"/>
                <w:i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Apibendrinimas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Ar esate pasirengę prisijungti prie naujos sveikatingumo revoliucijos?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Nepraleiskite galimybės dirbti kartu!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</w:rPr>
              <w:drawing>
                <wp:inline distB="114300" distT="114300" distL="114300" distR="114300">
                  <wp:extent cx="2076450" cy="1168400"/>
                  <wp:effectExtent b="0" l="0" r="0" t="0"/>
                  <wp:docPr id="9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168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.000000000000004" w:lineRule="auto"/>
              <w:rPr>
                <w:rFonts w:ascii="Roboto Light" w:cs="Roboto Light" w:eastAsia="Roboto Light" w:hAnsi="Roboto Light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.000000000000004" w:lineRule="auto"/>
              <w:rPr>
                <w:rFonts w:ascii="Roboto" w:cs="Roboto" w:eastAsia="Roboto" w:hAnsi="Roboto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d1e5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.000000000000004" w:lineRule="auto"/>
              <w:rPr>
                <w:rFonts w:ascii="Roboto Light" w:cs="Roboto Light" w:eastAsia="Roboto Light" w:hAnsi="Roboto Light"/>
                <w:i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Klausimai ir atsakymai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Roboto Light" w:cs="Roboto Light" w:eastAsia="Roboto Light" w:hAnsi="Roboto Light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rtl w:val="0"/>
              </w:rPr>
              <w:t xml:space="preserve">Demonstracijos</w:t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8" w:val="dotted"/>
              <w:bottom w:color="000000" w:space="0" w:sz="8" w:val="dotted"/>
              <w:right w:color="000000" w:space="0" w:sz="8" w:val="dott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Roboto Light" w:cs="Roboto Light" w:eastAsia="Roboto Light" w:hAnsi="Roboto Light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31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 Black">
    <w:embedBold w:fontKey="{00000000-0000-0000-0000-000000000000}" r:id="rId1" w:subsetted="0"/>
    <w:embedBoldItalic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Poppins Light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Roboto Light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rPr/>
    </w:pPr>
    <w:r w:rsidDel="00000000" w:rsidR="00000000" w:rsidRPr="00000000">
      <w:rPr>
        <w:rtl w:val="0"/>
      </w:rPr>
    </w:r>
  </w:p>
  <w:tbl>
    <w:tblPr>
      <w:tblStyle w:val="Table2"/>
      <w:tblW w:w="12810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825"/>
      <w:gridCol w:w="8985"/>
      <w:tblGridChange w:id="0">
        <w:tblGrid>
          <w:gridCol w:w="3825"/>
          <w:gridCol w:w="8985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68">
          <w:pPr>
            <w:rPr/>
          </w:pPr>
          <w:r w:rsidDel="00000000" w:rsidR="00000000" w:rsidRPr="00000000">
            <w:rPr/>
            <w:drawing>
              <wp:inline distB="114300" distT="114300" distL="114300" distR="114300">
                <wp:extent cx="1462088" cy="417739"/>
                <wp:effectExtent b="0" l="0" r="0" t="0"/>
                <wp:docPr id="6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2088" cy="41773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0" w:val="nil"/>
          </w:tcBorders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top"/>
        </w:tcPr>
        <w:p w:rsidR="00000000" w:rsidDel="00000000" w:rsidP="00000000" w:rsidRDefault="00000000" w:rsidRPr="00000000" w14:paraId="00000069">
          <w:pPr>
            <w:spacing w:line="240" w:lineRule="auto"/>
            <w:rPr>
              <w:rFonts w:ascii="Poppins Light" w:cs="Poppins Light" w:eastAsia="Poppins Light" w:hAnsi="Poppins Light"/>
              <w:sz w:val="20"/>
              <w:szCs w:val="20"/>
            </w:rPr>
          </w:pPr>
          <w:r w:rsidDel="00000000" w:rsidR="00000000" w:rsidRPr="00000000">
            <w:rPr>
              <w:rFonts w:ascii="Poppins Light" w:cs="Poppins Light" w:eastAsia="Poppins Light" w:hAnsi="Poppins Light"/>
              <w:sz w:val="20"/>
              <w:szCs w:val="20"/>
              <w:rtl w:val="0"/>
            </w:rPr>
            <w:t xml:space="preserve">Šiame dokumente apibendrinamos kalbos gairės, skirtos tiesioginių pardavimų partnerystei pristatyti. Įvertinkite, kas labiausiai tinka Jūsų auditorijai, ir koreguokite turinį pagal savo poreikius!</w:t>
          </w:r>
        </w:p>
      </w:tc>
    </w:tr>
  </w:tbl>
  <w:p w:rsidR="00000000" w:rsidDel="00000000" w:rsidP="00000000" w:rsidRDefault="00000000" w:rsidRPr="00000000" w14:paraId="0000006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B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7.jpg"/><Relationship Id="rId22" Type="http://schemas.openxmlformats.org/officeDocument/2006/relationships/image" Target="media/image9.jpg"/><Relationship Id="rId21" Type="http://schemas.openxmlformats.org/officeDocument/2006/relationships/image" Target="media/image21.jpg"/><Relationship Id="rId24" Type="http://schemas.openxmlformats.org/officeDocument/2006/relationships/image" Target="media/image2.jpg"/><Relationship Id="rId23" Type="http://schemas.openxmlformats.org/officeDocument/2006/relationships/image" Target="media/image20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sites.google.com/d/1bn5uXedG-NlfSmozjzhkkzZ8z2faL9K9/p/1mZgtx4FoYl-WOCKtewJzrdZrca5bo9Be/edit" TargetMode="External"/><Relationship Id="rId26" Type="http://schemas.openxmlformats.org/officeDocument/2006/relationships/image" Target="media/image22.jpg"/><Relationship Id="rId25" Type="http://schemas.openxmlformats.org/officeDocument/2006/relationships/image" Target="media/image15.jpg"/><Relationship Id="rId28" Type="http://schemas.openxmlformats.org/officeDocument/2006/relationships/image" Target="media/image3.jpg"/><Relationship Id="rId27" Type="http://schemas.openxmlformats.org/officeDocument/2006/relationships/image" Target="media/image18.jpg"/><Relationship Id="rId5" Type="http://schemas.openxmlformats.org/officeDocument/2006/relationships/styles" Target="styles.xml"/><Relationship Id="rId6" Type="http://schemas.openxmlformats.org/officeDocument/2006/relationships/hyperlink" Target="https://sites.google.com/d/1bn5uXedG-NlfSmozjzhkkzZ8z2faL9K9/p/1mZgtx4FoYl-WOCKtewJzrdZrca5bo9Be/edit" TargetMode="External"/><Relationship Id="rId29" Type="http://schemas.openxmlformats.org/officeDocument/2006/relationships/image" Target="media/image4.jpg"/><Relationship Id="rId7" Type="http://schemas.openxmlformats.org/officeDocument/2006/relationships/image" Target="media/image19.jpg"/><Relationship Id="rId8" Type="http://schemas.openxmlformats.org/officeDocument/2006/relationships/image" Target="media/image8.jpg"/><Relationship Id="rId31" Type="http://schemas.openxmlformats.org/officeDocument/2006/relationships/header" Target="header1.xml"/><Relationship Id="rId30" Type="http://schemas.openxmlformats.org/officeDocument/2006/relationships/image" Target="media/image12.jpg"/><Relationship Id="rId11" Type="http://schemas.openxmlformats.org/officeDocument/2006/relationships/image" Target="media/image11.jpg"/><Relationship Id="rId10" Type="http://schemas.openxmlformats.org/officeDocument/2006/relationships/image" Target="media/image10.jpg"/><Relationship Id="rId13" Type="http://schemas.openxmlformats.org/officeDocument/2006/relationships/image" Target="media/image23.jpg"/><Relationship Id="rId12" Type="http://schemas.openxmlformats.org/officeDocument/2006/relationships/image" Target="media/image17.jpg"/><Relationship Id="rId15" Type="http://schemas.openxmlformats.org/officeDocument/2006/relationships/image" Target="media/image6.jpg"/><Relationship Id="rId14" Type="http://schemas.openxmlformats.org/officeDocument/2006/relationships/image" Target="media/image13.jpg"/><Relationship Id="rId17" Type="http://schemas.openxmlformats.org/officeDocument/2006/relationships/image" Target="media/image16.jpg"/><Relationship Id="rId16" Type="http://schemas.openxmlformats.org/officeDocument/2006/relationships/image" Target="media/image5.jpg"/><Relationship Id="rId19" Type="http://schemas.openxmlformats.org/officeDocument/2006/relationships/image" Target="media/image24.jpg"/><Relationship Id="rId18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obotoLight-regular.ttf"/><Relationship Id="rId10" Type="http://schemas.openxmlformats.org/officeDocument/2006/relationships/font" Target="fonts/PoppinsLight-boldItalic.ttf"/><Relationship Id="rId13" Type="http://schemas.openxmlformats.org/officeDocument/2006/relationships/font" Target="fonts/RobotoLight-italic.ttf"/><Relationship Id="rId12" Type="http://schemas.openxmlformats.org/officeDocument/2006/relationships/font" Target="fonts/RobotoLight-bold.ttf"/><Relationship Id="rId1" Type="http://schemas.openxmlformats.org/officeDocument/2006/relationships/font" Target="fonts/RobotoBlack-bold.ttf"/><Relationship Id="rId2" Type="http://schemas.openxmlformats.org/officeDocument/2006/relationships/font" Target="fonts/RobotoBlack-boldItalic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PoppinsLight-italic.ttf"/><Relationship Id="rId14" Type="http://schemas.openxmlformats.org/officeDocument/2006/relationships/font" Target="fonts/RobotoLight-boldItalic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PoppinsLight-regular.ttf"/><Relationship Id="rId8" Type="http://schemas.openxmlformats.org/officeDocument/2006/relationships/font" Target="fonts/Poppins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